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166E" w14:textId="77777777" w:rsidR="00C76632" w:rsidRPr="003C0C3A" w:rsidRDefault="00C76632" w:rsidP="00C76632">
      <w:pPr>
        <w:pStyle w:val="Default"/>
        <w:jc w:val="center"/>
        <w:rPr>
          <w:rFonts w:asciiTheme="majorHAnsi" w:hAnsiTheme="majorHAnsi" w:cstheme="majorHAnsi"/>
          <w:sz w:val="28"/>
          <w:szCs w:val="28"/>
        </w:rPr>
      </w:pPr>
      <w:r w:rsidRPr="003C0C3A">
        <w:rPr>
          <w:rFonts w:ascii="Gadugi" w:eastAsia="Gadugi" w:hAnsi="Gadugi" w:cs="Gadugi"/>
          <w:i/>
          <w:sz w:val="28"/>
          <w:lang w:bidi="en-US"/>
        </w:rPr>
        <w:t>Tuhaqtidjutit hapkunanga Auladjutinun Akiinun Ihivriuqhijiit Katimajiinin</w:t>
      </w:r>
    </w:p>
    <w:p w14:paraId="6998354D" w14:textId="77777777" w:rsidR="00C76632" w:rsidRPr="003C0C3A" w:rsidRDefault="00C76632" w:rsidP="00C76632">
      <w:pPr>
        <w:pStyle w:val="Default"/>
        <w:jc w:val="both"/>
        <w:rPr>
          <w:rFonts w:asciiTheme="majorHAnsi" w:hAnsiTheme="majorHAnsi" w:cstheme="majorHAnsi"/>
          <w:color w:val="auto"/>
          <w:spacing w:val="-1"/>
          <w:sz w:val="28"/>
          <w:szCs w:val="28"/>
        </w:rPr>
      </w:pPr>
    </w:p>
    <w:p w14:paraId="27E03870" w14:textId="10A88FE6" w:rsidR="0070714C" w:rsidRPr="0070714C" w:rsidRDefault="0070714C" w:rsidP="00FC26AE">
      <w:pPr>
        <w:pStyle w:val="Default"/>
        <w:jc w:val="both"/>
        <w:rPr>
          <w:rFonts w:asciiTheme="majorHAnsi" w:hAnsiTheme="majorHAnsi" w:cstheme="majorHAnsi"/>
          <w:color w:val="auto"/>
          <w:spacing w:val="-1"/>
          <w:sz w:val="28"/>
          <w:szCs w:val="28"/>
        </w:rPr>
      </w:pPr>
      <w:r>
        <w:rPr>
          <w:rFonts w:ascii="Gadugi" w:eastAsia="Gadugi" w:hAnsi="Gadugi" w:cs="Gadugi"/>
          <w:color w:val="auto"/>
          <w:spacing w:val="-1"/>
          <w:sz w:val="28"/>
          <w:lang w:bidi="en-US"/>
        </w:rPr>
        <w:t xml:space="preserve">URRCtkut tuniyauyut Akiluangitigut Uuktuutit (GRA uvaluuniin uuktuutit) hapkunanga Qulliq Alruyaqtuqtunik Ikumadjutiit (QEC) uvani Hikutirvia 29, 2024. Uuktuutit hivumuuqtitaujut Ministamin Munaqhijumin ukuninga Qulliq Alruyaqtuqtunik Ikumadjutiit URRCkut ihivriuqtakhait pitquidjutinunlu. </w:t>
      </w:r>
    </w:p>
    <w:p w14:paraId="7A71C8EE" w14:textId="77777777" w:rsidR="0070714C" w:rsidRDefault="0070714C" w:rsidP="00FC26AE">
      <w:pPr>
        <w:pStyle w:val="Default"/>
        <w:jc w:val="both"/>
      </w:pPr>
    </w:p>
    <w:p w14:paraId="7F18847C" w14:textId="7CD0A187" w:rsidR="000E6F60" w:rsidRPr="000E6F60" w:rsidRDefault="000E6F60" w:rsidP="004F1F17">
      <w:pPr>
        <w:jc w:val="both"/>
        <w:rPr>
          <w:rFonts w:asciiTheme="majorHAnsi" w:hAnsiTheme="majorHAnsi" w:cstheme="majorHAnsi"/>
          <w:b/>
          <w:spacing w:val="-1"/>
          <w:sz w:val="28"/>
          <w:szCs w:val="28"/>
          <w:lang w:val="en-CA"/>
        </w:rPr>
      </w:pPr>
      <w:r w:rsidRPr="000E6F60">
        <w:rPr>
          <w:rFonts w:ascii="Gadugi" w:eastAsia="Gadugi" w:hAnsi="Gadugi" w:cs="Gadugi"/>
          <w:b/>
          <w:spacing w:val="-1"/>
          <w:sz w:val="28"/>
          <w:lang w:bidi="en-US"/>
        </w:rPr>
        <w:t>Uktuutit</w:t>
      </w:r>
    </w:p>
    <w:p w14:paraId="19776728" w14:textId="68B7BA27" w:rsidR="0070714C" w:rsidRPr="001D386B" w:rsidRDefault="004F1F17" w:rsidP="004F1F17">
      <w:pPr>
        <w:jc w:val="both"/>
        <w:rPr>
          <w:rFonts w:asciiTheme="majorHAnsi" w:hAnsiTheme="majorHAnsi" w:cstheme="majorHAnsi"/>
          <w:spacing w:val="-1"/>
          <w:sz w:val="28"/>
          <w:szCs w:val="28"/>
          <w:lang w:val="en-CA"/>
        </w:rPr>
      </w:pPr>
      <w:r w:rsidRPr="001D386B">
        <w:rPr>
          <w:rFonts w:ascii="Gadugi" w:eastAsia="Gadugi" w:hAnsi="Gadugi" w:cs="Gadugi"/>
          <w:spacing w:val="-1"/>
          <w:sz w:val="28"/>
          <w:lang w:bidi="en-US"/>
        </w:rPr>
        <w:t>Uuktuutaini QECkut tukhiutit angirutinik, Ministamin munaqhijumin, hapkuninga</w:t>
      </w:r>
    </w:p>
    <w:p w14:paraId="256256FB" w14:textId="32B616A9" w:rsidR="0070714C" w:rsidRPr="001D386B" w:rsidRDefault="001D386B" w:rsidP="001D386B">
      <w:pPr>
        <w:pStyle w:val="ListParagraph"/>
        <w:numPr>
          <w:ilvl w:val="0"/>
          <w:numId w:val="3"/>
        </w:numPr>
        <w:jc w:val="both"/>
        <w:rPr>
          <w:rFonts w:asciiTheme="majorHAnsi" w:hAnsiTheme="majorHAnsi" w:cstheme="majorHAnsi"/>
          <w:spacing w:val="-1"/>
          <w:sz w:val="28"/>
          <w:szCs w:val="28"/>
          <w:lang w:val="en-CA"/>
        </w:rPr>
      </w:pPr>
      <w:r w:rsidRPr="001D386B">
        <w:rPr>
          <w:rFonts w:ascii="Gadugi" w:eastAsia="Gadugi" w:hAnsi="Gadugi" w:cs="Gadugi"/>
          <w:spacing w:val="-1"/>
          <w:sz w:val="28"/>
          <w:lang w:bidi="en-US"/>
        </w:rPr>
        <w:t>niriuktaujunin maniliunirmun pijakhat haffumani 2025/26 uuktuutinun ukiungani imaa $183.9 million, kitut ikivalaaniaqtut imaa $21.5 million pihimajut atuqtaujunin akiinin (QEC ihumagijait atuqtaujut akiit tapkua angiqtaulutik uvani 2022/23 GRA Akiinun Ihuaqhautit ukualu ntadjamin FSR akiit tapkua nunguniaqtut uvani Qiqailruq 31, 2025)</w:t>
      </w:r>
    </w:p>
    <w:p w14:paraId="787F5050" w14:textId="4B6A3362" w:rsidR="001D386B" w:rsidRDefault="00C51CD6" w:rsidP="001D386B">
      <w:pPr>
        <w:pStyle w:val="ListParagraph"/>
        <w:numPr>
          <w:ilvl w:val="0"/>
          <w:numId w:val="3"/>
        </w:numPr>
        <w:jc w:val="both"/>
        <w:rPr>
          <w:rFonts w:asciiTheme="majorHAnsi" w:hAnsiTheme="majorHAnsi" w:cstheme="majorHAnsi"/>
          <w:spacing w:val="-1"/>
          <w:sz w:val="28"/>
          <w:szCs w:val="28"/>
          <w:lang w:val="en-CA"/>
        </w:rPr>
      </w:pPr>
      <w:r>
        <w:rPr>
          <w:rFonts w:ascii="Gadugi" w:eastAsia="Gadugi" w:hAnsi="Gadugi" w:cs="Gadugi"/>
          <w:spacing w:val="-1"/>
          <w:sz w:val="28"/>
          <w:lang w:bidi="en-US"/>
        </w:rPr>
        <w:t>ihuaqhaidjutit atuqtaujunun aviktuhimajumi-tamaani ihuaqhaqtauhimajut akiinun havauhiit (ilaani uqagaujut imaa "titirarqaringni sitaapsiup akiit'),</w:t>
      </w:r>
    </w:p>
    <w:p w14:paraId="4EC4FEDF" w14:textId="500B02EB" w:rsidR="001F264D" w:rsidRDefault="001F264D" w:rsidP="001D386B">
      <w:pPr>
        <w:pStyle w:val="ListParagraph"/>
        <w:numPr>
          <w:ilvl w:val="0"/>
          <w:numId w:val="3"/>
        </w:numPr>
        <w:jc w:val="both"/>
        <w:rPr>
          <w:rFonts w:asciiTheme="majorHAnsi" w:hAnsiTheme="majorHAnsi" w:cstheme="majorHAnsi"/>
          <w:spacing w:val="-1"/>
          <w:sz w:val="28"/>
          <w:szCs w:val="28"/>
          <w:lang w:val="en-CA"/>
        </w:rPr>
      </w:pPr>
      <w:r>
        <w:rPr>
          <w:rFonts w:ascii="Gadugi" w:eastAsia="Gadugi" w:hAnsi="Gadugi" w:cs="Gadugi"/>
          <w:spacing w:val="-1"/>
          <w:sz w:val="28"/>
          <w:lang w:bidi="en-US"/>
        </w:rPr>
        <w:t>malrungnik akituqjuumirniq tatqirhiutikkut akiliqtuijut akiligahait ukualu tatqirhiutikkut piumajaujut kivgaqtuutinun akiligahat</w:t>
      </w:r>
    </w:p>
    <w:p w14:paraId="1AAFB90F" w14:textId="51D32EE8" w:rsidR="005C184B" w:rsidRPr="001D386B" w:rsidRDefault="005C184B" w:rsidP="005C184B">
      <w:pPr>
        <w:pStyle w:val="ListParagraph"/>
        <w:numPr>
          <w:ilvl w:val="0"/>
          <w:numId w:val="3"/>
        </w:numPr>
        <w:jc w:val="both"/>
        <w:rPr>
          <w:rFonts w:asciiTheme="majorHAnsi" w:hAnsiTheme="majorHAnsi" w:cstheme="majorHAnsi"/>
          <w:spacing w:val="-1"/>
          <w:sz w:val="28"/>
          <w:szCs w:val="28"/>
          <w:lang w:val="en-CA"/>
        </w:rPr>
      </w:pPr>
      <w:r w:rsidRPr="001D386B">
        <w:rPr>
          <w:rFonts w:ascii="Gadugi" w:eastAsia="Gadugi" w:hAnsi="Gadugi" w:cs="Gadugi"/>
          <w:spacing w:val="-1"/>
          <w:sz w:val="28"/>
          <w:lang w:bidi="en-US"/>
        </w:rPr>
        <w:t>aktilaanga akituqjuuminirup auladjutinun akiit imaa 9.5% igluqaqtunun nanminiqaqtununlu akiliqtuijut, unalu 12.9% apqutinun quliinun akiliqtuijut,</w:t>
      </w:r>
    </w:p>
    <w:p w14:paraId="3612EB6A" w14:textId="694278D7" w:rsidR="007A176F" w:rsidRPr="001D386B" w:rsidRDefault="007A176F" w:rsidP="001D386B">
      <w:pPr>
        <w:pStyle w:val="ListParagraph"/>
        <w:numPr>
          <w:ilvl w:val="0"/>
          <w:numId w:val="3"/>
        </w:numPr>
        <w:jc w:val="both"/>
        <w:rPr>
          <w:rFonts w:asciiTheme="majorHAnsi" w:hAnsiTheme="majorHAnsi" w:cstheme="majorHAnsi"/>
          <w:spacing w:val="-1"/>
          <w:sz w:val="28"/>
          <w:szCs w:val="28"/>
          <w:lang w:val="en-CA"/>
        </w:rPr>
      </w:pPr>
      <w:r>
        <w:rPr>
          <w:rFonts w:ascii="Gadugi" w:eastAsia="Gadugi" w:hAnsi="Gadugi" w:cs="Gadugi"/>
          <w:spacing w:val="-1"/>
          <w:sz w:val="28"/>
          <w:lang w:bidi="en-US"/>
        </w:rPr>
        <w:t>nutaat akiit atuliqtaulutik pihimalugit uvani Qittiqautijuq 1, 2025/26 uuktuutinun ukiungani (QECkut uqaqtait ihumagijait tujuqlugit amigaitut uuktuutit tadjakaffuk akiinik pidjutigijaangini qitqani Qittiqautijuq 1, 2025 unalu angiqlugit kinguliqpaat 2025/26 akiit).</w:t>
      </w:r>
    </w:p>
    <w:p w14:paraId="7026B93F" w14:textId="77777777" w:rsidR="001D386B" w:rsidRDefault="001D386B" w:rsidP="004F1F17">
      <w:pPr>
        <w:jc w:val="both"/>
      </w:pPr>
    </w:p>
    <w:p w14:paraId="7A888BE2" w14:textId="7038EC8B" w:rsidR="00E236F5" w:rsidRPr="00E236F5" w:rsidRDefault="00E236F5" w:rsidP="004F1F17">
      <w:pPr>
        <w:jc w:val="both"/>
        <w:rPr>
          <w:rFonts w:asciiTheme="majorHAnsi" w:hAnsiTheme="majorHAnsi" w:cstheme="majorHAnsi"/>
          <w:spacing w:val="-1"/>
          <w:sz w:val="28"/>
          <w:szCs w:val="28"/>
          <w:lang w:val="en-CA"/>
        </w:rPr>
      </w:pPr>
      <w:r w:rsidRPr="00E236F5">
        <w:rPr>
          <w:rFonts w:ascii="Gadugi" w:eastAsia="Gadugi" w:hAnsi="Gadugi" w:cs="Gadugi"/>
          <w:spacing w:val="-1"/>
          <w:sz w:val="28"/>
          <w:lang w:bidi="en-US"/>
        </w:rPr>
        <w:t xml:space="preserve">Niriukgijaujuq maniliunirmun pijakhaq imaa $183.9 million imaavjak $40.0 million akitutqiaq tukhqtaujumun uvani 2022/23 GRA, unalu $27.3 akitutqiaq uvanga 2022/23 GRA akiinun Ihuaqhaqtaujut, atuliqluni Tattiarnaqhilirvia 1, 2023, kitut pidjutaujut akitutqiamik urhuqjuat akiit. Akituqjuumiqtut imaa$27.3 million talvanga GRA Akiit Ihuaqhaqtaujut hivuani pidjutigiblugit, akituqjuumiqtut urhuqjuaqtungitut auladjutit ukualu </w:t>
      </w:r>
      <w:r w:rsidRPr="00E236F5">
        <w:rPr>
          <w:rFonts w:ascii="Gadugi" w:eastAsia="Gadugi" w:hAnsi="Gadugi" w:cs="Gadugi"/>
          <w:spacing w:val="-1"/>
          <w:sz w:val="28"/>
          <w:lang w:bidi="en-US"/>
        </w:rPr>
        <w:lastRenderedPageBreak/>
        <w:t xml:space="preserve">ihuaqhainirmun akiligahat ($19.3 million), havaknikkut urhuqjuat ($5.9 million), utirutit akiinun pihimajut ($4.3 million), pidjutauluaqtut imaa akikhijuumiqtut ihuaqhaqhimajut piqutit akiiqpaliajut ($2.1 million). Akituqjuumirutijut akiinun pidjutaujut akitutqiamik maniliurutit atuqtaujunun akiinun ($2.4 million hivuani pidjutaujut auladjutinik atuqtut amigaiqjuumirnirmun), akitutqijaujuq alrujaqtungnirmun maniliurutit ($0.9 million) ukualu qaffitaalauniit tapkua katitiqtauniaqtut uvani FSR aulangitut ($2.5 million). Maniliunirmun naamangitut imaa $21.5 million qanuriniit pidjutaujut niriuktaujunun aalanguqtirinirmun talvanga 2022/23 GRA Akiinun Ihuaqhaidjutit. </w:t>
      </w:r>
    </w:p>
    <w:p w14:paraId="28E46B24" w14:textId="77777777" w:rsidR="00E236F5" w:rsidRDefault="00E236F5" w:rsidP="004F1F17">
      <w:pPr>
        <w:jc w:val="both"/>
      </w:pPr>
    </w:p>
    <w:p w14:paraId="5773033A" w14:textId="23FCBBCC" w:rsidR="00734C20" w:rsidRDefault="00734C20" w:rsidP="004F1F17">
      <w:pPr>
        <w:jc w:val="both"/>
        <w:rPr>
          <w:rFonts w:asciiTheme="majorHAnsi" w:hAnsiTheme="majorHAnsi" w:cstheme="majorHAnsi"/>
          <w:spacing w:val="-1"/>
          <w:sz w:val="28"/>
          <w:szCs w:val="28"/>
          <w:lang w:val="en-CA"/>
        </w:rPr>
      </w:pPr>
      <w:r w:rsidRPr="00734C20">
        <w:rPr>
          <w:rFonts w:ascii="Gadugi" w:eastAsia="Gadugi" w:hAnsi="Gadugi" w:cs="Gadugi"/>
          <w:spacing w:val="-1"/>
          <w:sz w:val="28"/>
          <w:lang w:bidi="en-US"/>
        </w:rPr>
        <w:t xml:space="preserve">titiraqhimajuq qulaani QECkut pihimaliqtait aviktuqhimajumi-tamaani akiit. Ataani aviktuqhimajup-tamaani akiit, tamaita akiliqtuijut aadjikiiktumik akiit qanuriniitigut akiligahait aadjikiit akiit, tamaini nunallaani Nunavunmi. </w:t>
      </w:r>
    </w:p>
    <w:p w14:paraId="753C8B38" w14:textId="77777777" w:rsidR="00734C20" w:rsidRDefault="00734C20" w:rsidP="004F1F17">
      <w:pPr>
        <w:jc w:val="both"/>
        <w:rPr>
          <w:rFonts w:asciiTheme="majorHAnsi" w:hAnsiTheme="majorHAnsi" w:cstheme="majorHAnsi"/>
          <w:spacing w:val="-1"/>
          <w:sz w:val="28"/>
          <w:szCs w:val="28"/>
          <w:lang w:val="en-CA"/>
        </w:rPr>
      </w:pPr>
    </w:p>
    <w:p w14:paraId="6690972C" w14:textId="61DC67A7" w:rsidR="00CF612A" w:rsidRDefault="00734C20" w:rsidP="004F1F17">
      <w:pPr>
        <w:jc w:val="both"/>
        <w:rPr>
          <w:rFonts w:asciiTheme="majorHAnsi" w:hAnsiTheme="majorHAnsi" w:cstheme="majorHAnsi"/>
          <w:spacing w:val="-1"/>
          <w:sz w:val="28"/>
          <w:szCs w:val="28"/>
          <w:lang w:val="en-CA"/>
        </w:rPr>
      </w:pPr>
      <w:r>
        <w:rPr>
          <w:rFonts w:ascii="Gadugi" w:eastAsia="Gadugi" w:hAnsi="Gadugi" w:cs="Gadugi"/>
          <w:spacing w:val="-1"/>
          <w:sz w:val="28"/>
          <w:lang w:bidi="en-US"/>
        </w:rPr>
        <w:t>QEC tukhiqtut akiliqtilugu $21.5 million maniliunirmun naamangituq imaa akituqjuumiqlugit auladjutinun akiit, ukualu akiliqtuijut kivgaqtuutinik ukalu piumajaujut kivgaqtungnirmun aalanguqtirutit. Aktilaangit-akituqjuumirutit pihimajut auladjutikkut akiit imaa 9.5%. Akiliqtuijut kivgaqtuutinik akiligahat tukhiqtaujut akituqjuumiqlugit hamanga $18 attauhiq tatqirhiut  haffumunga $36 attauhiq tatqirhiut. Piumajaujut kivgaqtuutit akiligahat tukhiqtaujut akituqjuumiqlutik hamanga $8 per kW hamunga $16 per kW. Ilaliutihimajunun kangiqhidjutinun mikhaanun aalanguqtirutit aalakiingnirmun akiit qanuriniit takulugit Naunaitkutaini 8.1mi (hamanga GRA uuktuutaini).</w:t>
      </w:r>
    </w:p>
    <w:p w14:paraId="01C9F6FB" w14:textId="77777777" w:rsidR="00B95873" w:rsidRDefault="00B95873" w:rsidP="004F1F17">
      <w:pPr>
        <w:jc w:val="both"/>
        <w:rPr>
          <w:rFonts w:asciiTheme="majorHAnsi" w:hAnsiTheme="majorHAnsi" w:cstheme="majorHAnsi"/>
          <w:spacing w:val="-1"/>
          <w:sz w:val="28"/>
          <w:szCs w:val="28"/>
          <w:lang w:val="en-CA"/>
        </w:rPr>
      </w:pPr>
    </w:p>
    <w:p w14:paraId="093C35BC" w14:textId="5C753A59" w:rsidR="00360CEE" w:rsidRDefault="00B95873" w:rsidP="00820D8D">
      <w:pPr>
        <w:jc w:val="both"/>
        <w:rPr>
          <w:rFonts w:asciiTheme="majorHAnsi" w:hAnsiTheme="majorHAnsi" w:cstheme="majorHAnsi"/>
          <w:spacing w:val="-1"/>
          <w:sz w:val="28"/>
          <w:szCs w:val="28"/>
          <w:lang w:val="en-CA"/>
        </w:rPr>
      </w:pPr>
      <w:r>
        <w:rPr>
          <w:rFonts w:ascii="Gadugi" w:eastAsia="Gadugi" w:hAnsi="Gadugi" w:cs="Gadugi"/>
          <w:spacing w:val="-1"/>
          <w:sz w:val="28"/>
          <w:lang w:bidi="en-US"/>
        </w:rPr>
        <w:t>GRA uuktuutait ilaujuty QECkut itqungniarutait akiligahanun hulaqutaujut tukhiqtaujunun akiinun, ihumagilugit tatqirhiutit atungnirit imaa 500 kWh iglunik atuqtunik unalu 2,000 kWh nanminiqaqtunun. Naunaitkutit ataani tunijaujut QECkunin uuktuutini (Naunaitkutaa 8.2). aadjiliurutigiblugu akiligahanun hulaqtutit aalanguqtirnirmun tukhiqtaujunun auladjutit, akiliqtuijut ukualu piumajaujut akiit ataani ihumagijaujut tatqirhiutikkut atungnikkut.</w:t>
      </w:r>
    </w:p>
    <w:p w14:paraId="55A611AE" w14:textId="77777777" w:rsidR="00360CEE" w:rsidRDefault="00360CEE" w:rsidP="00360CEE">
      <w:pPr>
        <w:rPr>
          <w:rFonts w:asciiTheme="majorHAnsi" w:hAnsiTheme="majorHAnsi" w:cstheme="majorHAnsi"/>
          <w:spacing w:val="-1"/>
          <w:sz w:val="28"/>
          <w:szCs w:val="28"/>
          <w:lang w:val="en-CA"/>
        </w:rPr>
      </w:pPr>
    </w:p>
    <w:p w14:paraId="5D651928" w14:textId="77777777" w:rsidR="003A2565" w:rsidRDefault="003A2565" w:rsidP="00360CEE">
      <w:pPr>
        <w:rPr>
          <w:rFonts w:asciiTheme="majorHAnsi" w:hAnsiTheme="majorHAnsi" w:cstheme="majorHAnsi"/>
          <w:spacing w:val="-1"/>
          <w:sz w:val="28"/>
          <w:szCs w:val="28"/>
          <w:lang w:val="en-CA"/>
        </w:rPr>
      </w:pPr>
    </w:p>
    <w:p w14:paraId="4B7FB474" w14:textId="77777777" w:rsidR="003A2565" w:rsidRPr="003A2565" w:rsidRDefault="003A2565" w:rsidP="00820D8D">
      <w:pPr>
        <w:ind w:left="740"/>
        <w:jc w:val="center"/>
        <w:rPr>
          <w:rFonts w:asciiTheme="majorHAnsi" w:hAnsiTheme="majorHAnsi" w:cstheme="majorHAnsi"/>
          <w:b/>
          <w:spacing w:val="-1"/>
          <w:sz w:val="28"/>
          <w:szCs w:val="28"/>
          <w:lang w:val="ca-ES"/>
        </w:rPr>
      </w:pPr>
      <w:r w:rsidRPr="003A2565">
        <w:rPr>
          <w:rFonts w:ascii="Gadugi" w:eastAsia="Gadugi" w:hAnsi="Gadugi" w:cs="Gadugi"/>
          <w:b/>
          <w:spacing w:val="-1"/>
          <w:sz w:val="28"/>
          <w:lang w:bidi="en-US"/>
        </w:rPr>
        <w:lastRenderedPageBreak/>
        <w:t>Naunaitkutaq 8.2:</w:t>
      </w:r>
    </w:p>
    <w:p w14:paraId="7D3AA4B2" w14:textId="77777777" w:rsidR="003A2565" w:rsidRPr="003A2565" w:rsidRDefault="003A2565" w:rsidP="00820D8D">
      <w:pPr>
        <w:ind w:left="740"/>
        <w:jc w:val="center"/>
        <w:rPr>
          <w:rFonts w:asciiTheme="majorHAnsi" w:hAnsiTheme="majorHAnsi" w:cstheme="majorHAnsi"/>
          <w:b/>
          <w:spacing w:val="-1"/>
          <w:sz w:val="28"/>
          <w:szCs w:val="28"/>
          <w:lang w:val="ca-ES"/>
        </w:rPr>
      </w:pPr>
      <w:r w:rsidRPr="003A2565">
        <w:rPr>
          <w:rFonts w:ascii="Gadugi" w:eastAsia="Gadugi" w:hAnsi="Gadugi" w:cs="Gadugi"/>
          <w:b/>
          <w:spacing w:val="-1"/>
          <w:sz w:val="28"/>
          <w:lang w:bidi="en-US"/>
        </w:rPr>
        <w:t>2025/26 Akiit Tukhiqtaujut Akiligahanun hulaqutaujut Ukualu Atuqtaujut Akiit</w:t>
      </w:r>
    </w:p>
    <w:p w14:paraId="4DCD49B5" w14:textId="77777777" w:rsidR="003A2565" w:rsidRPr="003A2565" w:rsidRDefault="003A2565" w:rsidP="003A2565">
      <w:pPr>
        <w:rPr>
          <w:rFonts w:asciiTheme="majorHAnsi" w:hAnsiTheme="majorHAnsi" w:cstheme="majorHAnsi"/>
          <w:b/>
          <w:spacing w:val="-1"/>
          <w:sz w:val="28"/>
          <w:szCs w:val="28"/>
          <w:lang w:val="ca-ES"/>
        </w:rPr>
      </w:pPr>
    </w:p>
    <w:tbl>
      <w:tblPr>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3"/>
        <w:gridCol w:w="2563"/>
      </w:tblGrid>
      <w:tr w:rsidR="003A2565" w:rsidRPr="003A2565" w14:paraId="084A51C2" w14:textId="77777777" w:rsidTr="00820D8D">
        <w:trPr>
          <w:trHeight w:val="868"/>
        </w:trPr>
        <w:tc>
          <w:tcPr>
            <w:tcW w:w="3853" w:type="dxa"/>
          </w:tcPr>
          <w:p w14:paraId="57918722" w14:textId="77777777" w:rsidR="003A2565" w:rsidRPr="003A2565" w:rsidRDefault="003A2565" w:rsidP="003A2565">
            <w:pPr>
              <w:rPr>
                <w:rFonts w:asciiTheme="majorHAnsi" w:hAnsiTheme="majorHAnsi" w:cstheme="majorHAnsi"/>
                <w:spacing w:val="-1"/>
                <w:sz w:val="28"/>
                <w:szCs w:val="28"/>
                <w:lang w:val="ca-ES"/>
              </w:rPr>
            </w:pPr>
          </w:p>
        </w:tc>
        <w:tc>
          <w:tcPr>
            <w:tcW w:w="2563" w:type="dxa"/>
          </w:tcPr>
          <w:p w14:paraId="04FA1027" w14:textId="77777777" w:rsidR="003A2565" w:rsidRPr="003A2565" w:rsidRDefault="003A2565" w:rsidP="003A2565">
            <w:pPr>
              <w:rPr>
                <w:rFonts w:asciiTheme="majorHAnsi" w:hAnsiTheme="majorHAnsi" w:cstheme="majorHAnsi"/>
                <w:b/>
                <w:spacing w:val="-1"/>
                <w:sz w:val="28"/>
                <w:szCs w:val="28"/>
                <w:lang w:val="ca-ES"/>
              </w:rPr>
            </w:pPr>
            <w:r w:rsidRPr="003A2565">
              <w:rPr>
                <w:rFonts w:ascii="Gadugi" w:eastAsia="Gadugi" w:hAnsi="Gadugi" w:cs="Gadugi"/>
                <w:b/>
                <w:spacing w:val="-1"/>
                <w:sz w:val="28"/>
                <w:lang w:bidi="en-US"/>
              </w:rPr>
              <w:t>aktilaangit Akiligahanun Aalanguqtirutit</w:t>
            </w:r>
          </w:p>
        </w:tc>
      </w:tr>
      <w:tr w:rsidR="003A2565" w:rsidRPr="003A2565" w14:paraId="241976B3" w14:textId="77777777" w:rsidTr="00820D8D">
        <w:trPr>
          <w:trHeight w:val="613"/>
        </w:trPr>
        <w:tc>
          <w:tcPr>
            <w:tcW w:w="3853" w:type="dxa"/>
          </w:tcPr>
          <w:p w14:paraId="262F2BB0"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Kavamaungitut iglut</w:t>
            </w:r>
          </w:p>
          <w:p w14:paraId="7AABB8DB"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 NESP Ikajuutiqaqtut</w:t>
            </w:r>
          </w:p>
        </w:tc>
        <w:tc>
          <w:tcPr>
            <w:tcW w:w="2563" w:type="dxa"/>
          </w:tcPr>
          <w:p w14:paraId="28DF930F"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Akituqjuumiqtut imaa 7.4% ($13.6)</w:t>
            </w:r>
          </w:p>
        </w:tc>
      </w:tr>
      <w:tr w:rsidR="003A2565" w:rsidRPr="003A2565" w14:paraId="299B01C1" w14:textId="77777777" w:rsidTr="00820D8D">
        <w:trPr>
          <w:trHeight w:val="827"/>
        </w:trPr>
        <w:tc>
          <w:tcPr>
            <w:tcW w:w="3853" w:type="dxa"/>
          </w:tcPr>
          <w:p w14:paraId="7FEB791B"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Haamlani Taaksikkut Pihimajut / Kavamaungitut Iglut</w:t>
            </w:r>
          </w:p>
          <w:p w14:paraId="0791F6F9"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 Ikajuutiqangitut</w:t>
            </w:r>
          </w:p>
        </w:tc>
        <w:tc>
          <w:tcPr>
            <w:tcW w:w="2563" w:type="dxa"/>
          </w:tcPr>
          <w:p w14:paraId="05BC732C"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Akituqjuumiqlutik imaa 14.0% ($53.3)</w:t>
            </w:r>
          </w:p>
        </w:tc>
      </w:tr>
      <w:tr w:rsidR="003A2565" w:rsidRPr="003A2565" w14:paraId="2C68EAB0" w14:textId="77777777" w:rsidTr="00820D8D">
        <w:trPr>
          <w:trHeight w:val="822"/>
        </w:trPr>
        <w:tc>
          <w:tcPr>
            <w:tcW w:w="3853" w:type="dxa"/>
          </w:tcPr>
          <w:p w14:paraId="3A9F0761"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Kavamatkut Igluit</w:t>
            </w:r>
          </w:p>
        </w:tc>
        <w:tc>
          <w:tcPr>
            <w:tcW w:w="2563" w:type="dxa"/>
          </w:tcPr>
          <w:p w14:paraId="01EAEBE9"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Akituqjuumiqlutik imaa 12.6% ($70.7)</w:t>
            </w:r>
          </w:p>
        </w:tc>
      </w:tr>
      <w:tr w:rsidR="003A2565" w:rsidRPr="003A2565" w14:paraId="26A4CBA0" w14:textId="77777777" w:rsidTr="00820D8D">
        <w:trPr>
          <w:trHeight w:val="827"/>
        </w:trPr>
        <w:tc>
          <w:tcPr>
            <w:tcW w:w="3853" w:type="dxa"/>
          </w:tcPr>
          <w:p w14:paraId="50003FC0"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Haamlani Taaksikkut Pihimajut  / Kavamaungitut Nanminiqaqtut</w:t>
            </w:r>
          </w:p>
        </w:tc>
        <w:tc>
          <w:tcPr>
            <w:tcW w:w="2563" w:type="dxa"/>
          </w:tcPr>
          <w:p w14:paraId="349A831D"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Akituqjuumiqlutik imaa 12.6% ($155.9)</w:t>
            </w:r>
          </w:p>
        </w:tc>
      </w:tr>
      <w:tr w:rsidR="003A2565" w:rsidRPr="003A2565" w14:paraId="31C9908F" w14:textId="77777777" w:rsidTr="00820D8D">
        <w:trPr>
          <w:trHeight w:val="803"/>
        </w:trPr>
        <w:tc>
          <w:tcPr>
            <w:tcW w:w="3853" w:type="dxa"/>
          </w:tcPr>
          <w:p w14:paraId="1B2475AB"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Kavamatkut Nanminiit</w:t>
            </w:r>
          </w:p>
        </w:tc>
        <w:tc>
          <w:tcPr>
            <w:tcW w:w="2563" w:type="dxa"/>
          </w:tcPr>
          <w:p w14:paraId="60C2F1F8" w14:textId="77777777" w:rsidR="003A2565" w:rsidRPr="003A2565" w:rsidRDefault="003A2565" w:rsidP="003A2565">
            <w:pPr>
              <w:rPr>
                <w:rFonts w:asciiTheme="majorHAnsi" w:hAnsiTheme="majorHAnsi" w:cstheme="majorHAnsi"/>
                <w:spacing w:val="-1"/>
                <w:sz w:val="28"/>
                <w:szCs w:val="28"/>
                <w:lang w:val="ca-ES"/>
              </w:rPr>
            </w:pPr>
            <w:r w:rsidRPr="003A2565">
              <w:rPr>
                <w:rFonts w:ascii="Gadugi" w:eastAsia="Gadugi" w:hAnsi="Gadugi" w:cs="Gadugi"/>
                <w:spacing w:val="-1"/>
                <w:sz w:val="28"/>
                <w:lang w:bidi="en-US"/>
              </w:rPr>
              <w:t>Akituqjuumiqlutik imaa 11.4% ($235.3)</w:t>
            </w:r>
          </w:p>
        </w:tc>
      </w:tr>
    </w:tbl>
    <w:p w14:paraId="09B007EB" w14:textId="77777777" w:rsidR="003A2565" w:rsidRPr="00360CEE" w:rsidRDefault="003A2565" w:rsidP="00360CEE">
      <w:pPr>
        <w:rPr>
          <w:rFonts w:asciiTheme="majorHAnsi" w:hAnsiTheme="majorHAnsi" w:cstheme="majorHAnsi"/>
          <w:spacing w:val="-1"/>
          <w:sz w:val="28"/>
          <w:szCs w:val="28"/>
          <w:lang w:val="en-CA"/>
        </w:rPr>
      </w:pPr>
    </w:p>
    <w:p w14:paraId="130E0A3D" w14:textId="53DEB5EC" w:rsidR="004F1F17" w:rsidRPr="005D61F9" w:rsidRDefault="004F1F17" w:rsidP="004F1F17"/>
    <w:p w14:paraId="31F1C110" w14:textId="77777777" w:rsidR="00360CEE" w:rsidRDefault="00360CEE" w:rsidP="00FC26AE">
      <w:pPr>
        <w:pStyle w:val="Default"/>
        <w:jc w:val="both"/>
        <w:rPr>
          <w:rFonts w:asciiTheme="majorHAnsi" w:hAnsiTheme="majorHAnsi" w:cstheme="majorHAnsi"/>
          <w:b/>
          <w:color w:val="auto"/>
          <w:spacing w:val="-1"/>
          <w:sz w:val="28"/>
          <w:szCs w:val="28"/>
        </w:rPr>
      </w:pPr>
    </w:p>
    <w:p w14:paraId="7CA845C8" w14:textId="417136BE" w:rsidR="004F1F17" w:rsidRPr="00983C2C" w:rsidRDefault="000E6F60" w:rsidP="00FC26AE">
      <w:pPr>
        <w:pStyle w:val="Default"/>
        <w:jc w:val="both"/>
        <w:rPr>
          <w:rFonts w:asciiTheme="majorHAnsi" w:hAnsiTheme="majorHAnsi" w:cstheme="majorHAnsi"/>
          <w:b/>
          <w:color w:val="auto"/>
          <w:spacing w:val="-1"/>
          <w:sz w:val="28"/>
          <w:szCs w:val="28"/>
        </w:rPr>
      </w:pPr>
      <w:r w:rsidRPr="00983C2C">
        <w:rPr>
          <w:rFonts w:ascii="Gadugi" w:eastAsia="Gadugi" w:hAnsi="Gadugi" w:cs="Gadugi"/>
          <w:b/>
          <w:color w:val="auto"/>
          <w:spacing w:val="-1"/>
          <w:sz w:val="28"/>
          <w:lang w:bidi="en-US"/>
        </w:rPr>
        <w:t>Havauhiq</w:t>
      </w:r>
    </w:p>
    <w:p w14:paraId="7A73B389" w14:textId="2FFFB56C" w:rsidR="0033223F" w:rsidRPr="0033223F" w:rsidRDefault="0033223F" w:rsidP="0033223F">
      <w:pPr>
        <w:pStyle w:val="Default"/>
        <w:jc w:val="both"/>
        <w:rPr>
          <w:rFonts w:asciiTheme="majorHAnsi" w:hAnsiTheme="majorHAnsi" w:cstheme="majorHAnsi"/>
          <w:sz w:val="28"/>
          <w:szCs w:val="28"/>
        </w:rPr>
      </w:pPr>
      <w:r>
        <w:rPr>
          <w:rFonts w:ascii="Gadugi" w:eastAsia="Gadugi" w:hAnsi="Gadugi" w:cs="Gadugi"/>
          <w:sz w:val="28"/>
          <w:lang w:bidi="en-US"/>
        </w:rPr>
        <w:t xml:space="preserve">URRCkut ihumagijait hapkua QECkut 2025/26 GRA Uuktuutait ilaqaqlutik kangiqhidjutinik tukhiutit/kiudjutit havauhiit ukununga QECkut pipkailutik ukununga URRCkunun kanutqiagut kangiqhimalugit tukhiutit maliunirmun pijakhat akiillu. URRCkut tujhaajumajullu ihumagijainik QECkunun akiliqtuijut piumajullu ilaujut pittiarnikkut haffumunga Uuktuutinun, piqaqqat. URRCkut ihumaginiaqtait titiraqhimajut tujuqtaujut mikhaanun ukua GRA uuktuutait ukualu QECkut kiudjutait tapkununga tujuqtaujunun. </w:t>
      </w:r>
    </w:p>
    <w:p w14:paraId="5527FF23" w14:textId="77777777" w:rsidR="0033223F" w:rsidRPr="003C0C3A" w:rsidRDefault="0033223F" w:rsidP="00FC26AE">
      <w:pPr>
        <w:pStyle w:val="Default"/>
        <w:jc w:val="both"/>
        <w:rPr>
          <w:rFonts w:asciiTheme="majorHAnsi" w:hAnsiTheme="majorHAnsi" w:cstheme="majorHAnsi"/>
          <w:color w:val="auto"/>
          <w:spacing w:val="-1"/>
          <w:sz w:val="28"/>
          <w:szCs w:val="28"/>
        </w:rPr>
      </w:pPr>
    </w:p>
    <w:p w14:paraId="694D5854" w14:textId="77777777" w:rsidR="00FC26AE" w:rsidRPr="003C0C3A" w:rsidRDefault="00FC26AE" w:rsidP="00C76632">
      <w:pPr>
        <w:pStyle w:val="BodyText"/>
        <w:ind w:left="102"/>
        <w:rPr>
          <w:rFonts w:asciiTheme="majorHAnsi" w:hAnsiTheme="majorHAnsi" w:cstheme="majorHAnsi"/>
          <w:sz w:val="28"/>
          <w:szCs w:val="28"/>
        </w:rPr>
      </w:pPr>
    </w:p>
    <w:p w14:paraId="57428414" w14:textId="4F8D2D11" w:rsidR="00C76632" w:rsidRPr="003C0C3A" w:rsidRDefault="00C76632" w:rsidP="00FC26AE">
      <w:pPr>
        <w:pStyle w:val="NoSpacing"/>
        <w:rPr>
          <w:rFonts w:asciiTheme="majorHAnsi" w:hAnsiTheme="majorHAnsi" w:cstheme="majorHAnsi"/>
          <w:b/>
          <w:bCs/>
          <w:sz w:val="28"/>
          <w:szCs w:val="28"/>
        </w:rPr>
      </w:pPr>
      <w:r w:rsidRPr="003C0C3A">
        <w:rPr>
          <w:rFonts w:ascii="Gadugi" w:eastAsia="Gadugi" w:hAnsi="Gadugi" w:cs="Gadugi"/>
          <w:b/>
          <w:sz w:val="28"/>
          <w:lang w:bidi="en-US"/>
        </w:rPr>
        <w:t>Umikvikhaa titiraqhimajut tujuqtaujut una: 5 p.m. (EST) Ubluqtuhivia 24, 2025.</w:t>
      </w:r>
    </w:p>
    <w:p w14:paraId="2DD1CCE2" w14:textId="2F4DDF41" w:rsidR="00C76632" w:rsidRPr="003C0C3A" w:rsidRDefault="00C76632" w:rsidP="00C76632">
      <w:pPr>
        <w:pStyle w:val="Heading2"/>
        <w:ind w:right="441"/>
        <w:jc w:val="center"/>
        <w:rPr>
          <w:rFonts w:asciiTheme="majorHAnsi" w:hAnsiTheme="majorHAnsi" w:cstheme="majorHAnsi"/>
          <w:sz w:val="28"/>
          <w:szCs w:val="28"/>
          <w:lang w:val="fr-CA" w:bidi="fr-CA"/>
        </w:rPr>
      </w:pPr>
    </w:p>
    <w:p w14:paraId="64ADB6DE" w14:textId="77777777" w:rsidR="00C76632" w:rsidRPr="003C0C3A" w:rsidRDefault="003C0C3A" w:rsidP="00C76632">
      <w:pPr>
        <w:pStyle w:val="Heading2"/>
        <w:ind w:right="441"/>
        <w:jc w:val="center"/>
        <w:rPr>
          <w:rFonts w:asciiTheme="majorHAnsi" w:hAnsiTheme="majorHAnsi" w:cstheme="majorHAnsi"/>
          <w:sz w:val="28"/>
          <w:szCs w:val="28"/>
          <w:lang w:val="fr-CA" w:bidi="fr-CA"/>
        </w:rPr>
      </w:pPr>
      <w:r w:rsidRPr="003C0C3A">
        <w:rPr>
          <w:rFonts w:ascii="Gadugi" w:eastAsia="Gadugi" w:hAnsi="Gadugi" w:cs="Gadugi"/>
          <w:noProof/>
          <w:spacing w:val="-1"/>
          <w:sz w:val="28"/>
          <w:lang w:bidi="en-US"/>
        </w:rPr>
        <mc:AlternateContent>
          <mc:Choice Requires="wps">
            <w:drawing>
              <wp:anchor distT="0" distB="0" distL="114300" distR="114300" simplePos="0" relativeHeight="251659264" behindDoc="1" locked="0" layoutInCell="1" allowOverlap="1" wp14:anchorId="3383CF04" wp14:editId="62A98E8A">
                <wp:simplePos x="0" y="0"/>
                <wp:positionH relativeFrom="page">
                  <wp:posOffset>4273484</wp:posOffset>
                </wp:positionH>
                <wp:positionV relativeFrom="paragraph">
                  <wp:posOffset>113838</wp:posOffset>
                </wp:positionV>
                <wp:extent cx="2821940" cy="2012950"/>
                <wp:effectExtent l="0" t="0" r="0" b="63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2012950"/>
                        </a:xfrm>
                        <a:prstGeom prst="rect">
                          <a:avLst/>
                        </a:prstGeom>
                        <a:solidFill>
                          <a:srgbClr val="D9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0061F" w14:textId="428CA3CC" w:rsidR="00C76632" w:rsidRPr="00C76632" w:rsidRDefault="00C76632" w:rsidP="00C76632">
                            <w:pPr>
                              <w:spacing w:before="158" w:line="300" w:lineRule="exact"/>
                              <w:ind w:left="244" w:right="304"/>
                              <w:rPr>
                                <w:rFonts w:ascii="Calibri" w:eastAsia="Calibri" w:hAnsi="Calibri" w:cs="Calibri"/>
                              </w:rPr>
                            </w:pPr>
                            <w:r w:rsidRPr="00C76632">
                              <w:rPr>
                                <w:rFonts w:ascii="Gadugi" w:eastAsia="Gadugi" w:hAnsi="Gadugi" w:cs="Gadugi"/>
                                <w:b/>
                                <w:lang w:bidi="en-US"/>
                              </w:rPr>
                              <w:t xml:space="preserve">QECkut GRA uuktuutait paqinaqtut uvani </w:t>
                            </w:r>
                            <w:hyperlink r:id="rId8" w:history="1">
                              <w:r w:rsidRPr="00C76632">
                                <w:rPr>
                                  <w:rStyle w:val="Hyperlink"/>
                                  <w:rFonts w:ascii="Gadugi" w:eastAsia="Gadugi" w:hAnsi="Gadugi" w:cs="Gadugi"/>
                                  <w:spacing w:val="-2"/>
                                  <w:lang w:bidi="en-US"/>
                                </w:rPr>
                                <w:t>www.qec.nu.ca</w:t>
                              </w:r>
                            </w:hyperlink>
                            <w:r w:rsidRPr="00C76632">
                              <w:rPr>
                                <w:rFonts w:ascii="Gadugi" w:eastAsia="Gadugi" w:hAnsi="Gadugi" w:cs="Gadugi"/>
                                <w:b/>
                                <w:spacing w:val="23"/>
                                <w:lang w:bidi="en-US"/>
                              </w:rPr>
                              <w:t xml:space="preserve"> apirhuutaukpataluuniin ukununga URRCkunin  QECkuninluuniin.</w:t>
                            </w:r>
                          </w:p>
                          <w:p w14:paraId="5F47CCF2" w14:textId="36C9C247" w:rsidR="00C76632" w:rsidRPr="00C76632" w:rsidRDefault="00C76632" w:rsidP="00C76632">
                            <w:pPr>
                              <w:spacing w:before="140" w:line="300" w:lineRule="exact"/>
                              <w:ind w:left="244" w:right="555"/>
                              <w:rPr>
                                <w:rFonts w:ascii="Calibri" w:eastAsia="Calibri" w:hAnsi="Calibri" w:cs="Calibri"/>
                              </w:rPr>
                            </w:pPr>
                            <w:r w:rsidRPr="00C76632">
                              <w:rPr>
                                <w:rFonts w:ascii="Gadugi" w:eastAsia="Gadugi" w:hAnsi="Gadugi" w:cs="Gadugi"/>
                                <w:b/>
                                <w:lang w:bidi="en-US"/>
                              </w:rPr>
                              <w:t>Tujugahat tujuqtaujaaqtut hamunga:</w:t>
                            </w:r>
                            <w:hyperlink r:id="rId9" w:history="1">
                              <w:r w:rsidR="00205220" w:rsidRPr="00D30558">
                                <w:rPr>
                                  <w:rStyle w:val="Hyperlink"/>
                                  <w:rFonts w:ascii="Gadugi" w:eastAsia="Gadugi" w:hAnsi="Gadugi" w:cs="Gadugi"/>
                                  <w:lang w:bidi="en-US"/>
                                </w:rPr>
                                <w:t xml:space="preserve"> Qaritaujakkut titiraqvigilugit – URRC@gov.nu.ca</w:t>
                              </w:r>
                            </w:hyperlink>
                            <w:r w:rsidRPr="00C76632">
                              <w:rPr>
                                <w:rFonts w:ascii="Gadugi" w:eastAsia="Gadugi" w:hAnsi="Gadugi" w:cs="Gadugi"/>
                                <w:b/>
                                <w:spacing w:val="-2"/>
                                <w:lang w:bidi="en-US"/>
                              </w:rPr>
                              <w:t xml:space="preserve"> Executive Director of the URRC, Box 1000, Stn 200</w:t>
                            </w:r>
                          </w:p>
                          <w:p w14:paraId="608E3927" w14:textId="77777777" w:rsidR="00C76632" w:rsidRPr="00C76632" w:rsidRDefault="00C76632" w:rsidP="00C76632">
                            <w:pPr>
                              <w:spacing w:line="315" w:lineRule="exact"/>
                              <w:ind w:left="244"/>
                              <w:rPr>
                                <w:rFonts w:ascii="Calibri" w:eastAsia="Calibri" w:hAnsi="Calibri" w:cs="Calibri"/>
                              </w:rPr>
                            </w:pPr>
                            <w:r w:rsidRPr="00C76632">
                              <w:rPr>
                                <w:rFonts w:ascii="Gadugi" w:eastAsia="Gadugi" w:hAnsi="Gadugi" w:cs="Gadugi"/>
                                <w:b/>
                                <w:lang w:bidi="en-US"/>
                              </w:rPr>
                              <w:t>Iqaluit, NU, X0A 0H0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3CF04" id="_x0000_t202" coordsize="21600,21600" o:spt="202" path="m,l,21600r21600,l21600,xe">
                <v:stroke joinstyle="miter"/>
                <v:path gradientshapeok="t" o:connecttype="rect"/>
              </v:shapetype>
              <v:shape id="Text Box 18" o:spid="_x0000_s1026" type="#_x0000_t202" style="position:absolute;left:0;text-align:left;margin-left:336.5pt;margin-top:8.95pt;width:222.2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" fillcolor="#d9e4f0" stroked="f">
                <v:textbox inset="0,0,0,0">
                  <w:txbxContent>
                    <w:p w14:paraId="7B90061F" w14:textId="428CA3CC" w:rsidR="00C76632" w:rsidRPr="00C76632" w:rsidRDefault="00C76632" w:rsidP="00C76632">
                      <w:pPr>
                        <w:spacing w:before="158" w:line="300" w:lineRule="exact"/>
                        <w:ind w:left="244" w:right="304"/>
                        <w:rPr>
                          <w:rFonts w:ascii="Calibri" w:eastAsia="Calibri" w:hAnsi="Calibri" w:cs="Calibri"/>
                        </w:rPr>
                      </w:pPr>
                      <w:r w:rsidRPr="00C76632">
                        <w:rPr>
                          <w:rFonts w:ascii="Gadugi" w:eastAsia="Gadugi" w:hAnsi="Gadugi" w:cs="Gadugi"/>
                          <w:b/>
                          <w:lang w:bidi="en-US"/>
                        </w:rPr>
                        <w:t xml:space="preserve">QECkut GRA uuktuutait paqinaqtut uvani </w:t>
                      </w:r>
                      <w:hyperlink r:id="rId10" w:history="1">
                        <w:r w:rsidRPr="00C76632">
                          <w:rPr>
                            <w:rStyle w:val="Hyperlink"/>
                            <w:rFonts w:ascii="Gadugi" w:eastAsia="Gadugi" w:hAnsi="Gadugi" w:cs="Gadugi"/>
                            <w:spacing w:val="-2"/>
                            <w:lang w:bidi="en-US"/>
                          </w:rPr>
                          <w:t>www.qec.nu.ca</w:t>
                        </w:r>
                      </w:hyperlink>
                      <w:r w:rsidRPr="00C76632">
                        <w:rPr>
                          <w:rFonts w:ascii="Gadugi" w:eastAsia="Gadugi" w:hAnsi="Gadugi" w:cs="Gadugi"/>
                          <w:b/>
                          <w:spacing w:val="23"/>
                          <w:lang w:bidi="en-US"/>
                        </w:rPr>
                        <w:t xml:space="preserve"> apirhuutaukpataluuniin ukununga URRCkunin  QECkuninluuniin.</w:t>
                      </w:r>
                    </w:p>
                    <w:p w14:paraId="5F47CCF2" w14:textId="36C9C247" w:rsidR="00C76632" w:rsidRPr="00C76632" w:rsidRDefault="00C76632" w:rsidP="00C76632">
                      <w:pPr>
                        <w:spacing w:before="140" w:line="300" w:lineRule="exact"/>
                        <w:ind w:left="244" w:right="555"/>
                        <w:rPr>
                          <w:rFonts w:ascii="Calibri" w:eastAsia="Calibri" w:hAnsi="Calibri" w:cs="Calibri"/>
                        </w:rPr>
                      </w:pPr>
                      <w:r w:rsidRPr="00C76632">
                        <w:rPr>
                          <w:rFonts w:ascii="Gadugi" w:eastAsia="Gadugi" w:hAnsi="Gadugi" w:cs="Gadugi"/>
                          <w:b/>
                          <w:lang w:bidi="en-US"/>
                        </w:rPr>
                        <w:t>Tujugahat tujuqtaujaaqtut hamunga:</w:t>
                      </w:r>
                      <w:hyperlink r:id="rId11" w:history="1">
                        <w:r w:rsidR="00205220" w:rsidRPr="00D30558">
                          <w:rPr>
                            <w:rStyle w:val="Hyperlink"/>
                            <w:rFonts w:ascii="Gadugi" w:eastAsia="Gadugi" w:hAnsi="Gadugi" w:cs="Gadugi"/>
                            <w:lang w:bidi="en-US"/>
                          </w:rPr>
                          <w:t xml:space="preserve"> Qaritaujakkut titiraqvigilugit – URRC@gov.nu.ca</w:t>
                        </w:r>
                      </w:hyperlink>
                      <w:r w:rsidRPr="00C76632">
                        <w:rPr>
                          <w:rFonts w:ascii="Gadugi" w:eastAsia="Gadugi" w:hAnsi="Gadugi" w:cs="Gadugi"/>
                          <w:b/>
                          <w:spacing w:val="-2"/>
                          <w:lang w:bidi="en-US"/>
                        </w:rPr>
                        <w:t xml:space="preserve"> Executive Director of the URRC, Box 1000, Stn 200</w:t>
                      </w:r>
                    </w:p>
                    <w:p w14:paraId="608E3927" w14:textId="77777777" w:rsidR="00C76632" w:rsidRPr="00C76632" w:rsidRDefault="00C76632" w:rsidP="00C76632">
                      <w:pPr>
                        <w:spacing w:line="315" w:lineRule="exact"/>
                        <w:ind w:left="244"/>
                        <w:rPr>
                          <w:rFonts w:ascii="Calibri" w:eastAsia="Calibri" w:hAnsi="Calibri" w:cs="Calibri"/>
                        </w:rPr>
                      </w:pPr>
                      <w:r w:rsidRPr="00C76632">
                        <w:rPr>
                          <w:rFonts w:ascii="Gadugi" w:eastAsia="Gadugi" w:hAnsi="Gadugi" w:cs="Gadugi"/>
                          <w:b/>
                          <w:lang w:bidi="en-US"/>
                        </w:rPr>
                        <w:t>Iqaluit, NU, X0A 0H0</w:t>
                      </w:r>
                    </w:p>
                  </w:txbxContent>
                </v:textbox>
                <w10:wrap anchorx="page"/>
              </v:shape>
            </w:pict>
          </mc:Fallback>
        </mc:AlternateContent>
      </w:r>
    </w:p>
    <w:p w14:paraId="774D4866" w14:textId="77777777" w:rsidR="00C76632" w:rsidRPr="003C0C3A" w:rsidRDefault="00C76632" w:rsidP="00C76632">
      <w:pPr>
        <w:pStyle w:val="Heading2"/>
        <w:ind w:right="441"/>
        <w:jc w:val="center"/>
        <w:rPr>
          <w:rFonts w:asciiTheme="majorHAnsi" w:hAnsiTheme="majorHAnsi" w:cstheme="majorHAnsi"/>
          <w:sz w:val="28"/>
          <w:szCs w:val="28"/>
          <w:lang w:val="fr-CA" w:bidi="fr-CA"/>
        </w:rPr>
      </w:pPr>
    </w:p>
    <w:p w14:paraId="6ADF6484" w14:textId="77777777" w:rsidR="00C76632" w:rsidRPr="003C0C3A" w:rsidRDefault="00C76632" w:rsidP="00C76632">
      <w:pPr>
        <w:pStyle w:val="Heading2"/>
        <w:ind w:right="441"/>
        <w:jc w:val="center"/>
        <w:rPr>
          <w:rFonts w:asciiTheme="majorHAnsi" w:hAnsiTheme="majorHAnsi" w:cstheme="majorHAnsi"/>
          <w:sz w:val="28"/>
          <w:szCs w:val="28"/>
          <w:lang w:val="fr-CA" w:bidi="fr-CA"/>
        </w:rPr>
      </w:pPr>
    </w:p>
    <w:p w14:paraId="172018B6" w14:textId="77777777" w:rsidR="00FC26AE" w:rsidRPr="003C0C3A" w:rsidRDefault="00FC26AE" w:rsidP="00C76632">
      <w:pPr>
        <w:pStyle w:val="Heading2"/>
        <w:ind w:right="441"/>
        <w:jc w:val="center"/>
        <w:rPr>
          <w:rFonts w:asciiTheme="majorHAnsi" w:hAnsiTheme="majorHAnsi" w:cstheme="majorHAnsi"/>
          <w:sz w:val="28"/>
          <w:szCs w:val="28"/>
          <w:lang w:val="fr-CA" w:bidi="fr-CA"/>
        </w:rPr>
      </w:pPr>
    </w:p>
    <w:p w14:paraId="4560C23A" w14:textId="77777777" w:rsidR="00DE0D8E" w:rsidRPr="003C0C3A" w:rsidRDefault="00DE0D8E" w:rsidP="00C76632">
      <w:pPr>
        <w:pStyle w:val="Heading2"/>
        <w:ind w:right="441"/>
        <w:jc w:val="center"/>
        <w:rPr>
          <w:rFonts w:asciiTheme="majorHAnsi" w:hAnsiTheme="majorHAnsi" w:cstheme="majorHAnsi"/>
          <w:sz w:val="28"/>
          <w:szCs w:val="28"/>
          <w:lang w:val="fr-CA" w:bidi="fr-CA"/>
        </w:rPr>
      </w:pPr>
    </w:p>
    <w:p w14:paraId="2C08092F" w14:textId="77777777" w:rsidR="00DE0D8E" w:rsidRPr="003C0C3A" w:rsidRDefault="00DE0D8E" w:rsidP="00C76632">
      <w:pPr>
        <w:pStyle w:val="Heading2"/>
        <w:ind w:right="441"/>
        <w:jc w:val="center"/>
        <w:rPr>
          <w:rFonts w:asciiTheme="majorHAnsi" w:hAnsiTheme="majorHAnsi" w:cstheme="majorHAnsi"/>
          <w:sz w:val="28"/>
          <w:szCs w:val="28"/>
          <w:lang w:val="fr-CA" w:bidi="fr-CA"/>
        </w:rPr>
      </w:pPr>
    </w:p>
    <w:p w14:paraId="4B5508F2" w14:textId="77777777" w:rsidR="00DE0D8E" w:rsidRPr="003C0C3A" w:rsidRDefault="00DE0D8E" w:rsidP="00C76632">
      <w:pPr>
        <w:pStyle w:val="Heading2"/>
        <w:ind w:right="441"/>
        <w:jc w:val="center"/>
        <w:rPr>
          <w:rFonts w:asciiTheme="majorHAnsi" w:hAnsiTheme="majorHAnsi" w:cstheme="majorHAnsi"/>
          <w:sz w:val="28"/>
          <w:szCs w:val="28"/>
          <w:lang w:val="fr-CA" w:bidi="fr-CA"/>
        </w:rPr>
      </w:pPr>
    </w:p>
    <w:p w14:paraId="18450096" w14:textId="77777777" w:rsidR="00DE0D8E" w:rsidRPr="003C0C3A" w:rsidRDefault="00DE0D8E" w:rsidP="00C76632">
      <w:pPr>
        <w:pStyle w:val="Heading2"/>
        <w:ind w:right="441"/>
        <w:jc w:val="center"/>
        <w:rPr>
          <w:rFonts w:asciiTheme="majorHAnsi" w:hAnsiTheme="majorHAnsi" w:cstheme="majorHAnsi"/>
          <w:sz w:val="28"/>
          <w:szCs w:val="28"/>
          <w:lang w:val="fr-CA" w:bidi="fr-CA"/>
        </w:rPr>
      </w:pPr>
    </w:p>
    <w:p w14:paraId="22868262" w14:textId="77777777" w:rsidR="00DE0D8E" w:rsidRPr="003C0C3A" w:rsidRDefault="00DE0D8E" w:rsidP="00C76632">
      <w:pPr>
        <w:pStyle w:val="Heading2"/>
        <w:ind w:right="441"/>
        <w:jc w:val="center"/>
        <w:rPr>
          <w:rFonts w:asciiTheme="majorHAnsi" w:hAnsiTheme="majorHAnsi" w:cstheme="majorHAnsi"/>
          <w:sz w:val="28"/>
          <w:szCs w:val="28"/>
          <w:lang w:val="fr-CA" w:bidi="fr-CA"/>
        </w:rPr>
      </w:pPr>
    </w:p>
    <w:p w14:paraId="1D449BCE" w14:textId="77777777" w:rsidR="00C50588" w:rsidRDefault="00DE0D8E" w:rsidP="003C0C3A">
      <w:pPr>
        <w:rPr>
          <w:rFonts w:asciiTheme="majorHAnsi" w:hAnsiTheme="majorHAnsi" w:cstheme="majorHAnsi"/>
          <w:i/>
          <w:sz w:val="28"/>
          <w:szCs w:val="28"/>
        </w:rPr>
      </w:pPr>
      <w:r w:rsidRPr="003C0C3A">
        <w:rPr>
          <w:rFonts w:ascii="Gadugi" w:eastAsia="Gadugi" w:hAnsi="Gadugi" w:cs="Gadugi"/>
          <w:i/>
          <w:sz w:val="28"/>
          <w:lang w:bidi="en-US"/>
        </w:rPr>
        <w:t>URRC-kut ilauqatigiingnikkut katimajiit tapkua tunihiyut uqaudjinirmik Kavamatkunun Nunavunmi akiinik pihimayut auladjutikkut.</w:t>
      </w:r>
    </w:p>
    <w:sectPr w:rsidR="00C50588" w:rsidSect="00DE0D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2E07" w14:textId="77777777" w:rsidR="00C043A4" w:rsidRDefault="00C043A4" w:rsidP="00577AE4">
      <w:r>
        <w:separator/>
      </w:r>
    </w:p>
  </w:endnote>
  <w:endnote w:type="continuationSeparator" w:id="0">
    <w:p w14:paraId="3BC89E37" w14:textId="77777777" w:rsidR="00C043A4" w:rsidRDefault="00C043A4" w:rsidP="0057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E87C" w14:textId="77777777" w:rsidR="00A615E3" w:rsidRDefault="00A6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AAA0" w14:textId="77777777" w:rsidR="00A615E3" w:rsidRDefault="00A6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DE20" w14:textId="77777777" w:rsidR="00A615E3" w:rsidRDefault="00A6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ACA5" w14:textId="77777777" w:rsidR="00C043A4" w:rsidRDefault="00C043A4" w:rsidP="00577AE4">
      <w:r>
        <w:separator/>
      </w:r>
    </w:p>
  </w:footnote>
  <w:footnote w:type="continuationSeparator" w:id="0">
    <w:p w14:paraId="0D656285" w14:textId="77777777" w:rsidR="00C043A4" w:rsidRDefault="00C043A4" w:rsidP="0057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2495" w14:textId="77777777" w:rsidR="00A615E3" w:rsidRDefault="00A61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43EA" w14:textId="23D01775" w:rsidR="00577AE4" w:rsidRDefault="00577AE4" w:rsidP="00C766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B720" w14:textId="77777777" w:rsidR="00A615E3" w:rsidRDefault="00A61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45F1"/>
    <w:multiLevelType w:val="hybridMultilevel"/>
    <w:tmpl w:val="E3BC3606"/>
    <w:lvl w:ilvl="0" w:tplc="645EEF3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A6A98"/>
    <w:multiLevelType w:val="hybridMultilevel"/>
    <w:tmpl w:val="10D65F6E"/>
    <w:lvl w:ilvl="0" w:tplc="83108478">
      <w:start w:val="1"/>
      <w:numFmt w:val="decimal"/>
      <w:lvlText w:val="%1"/>
      <w:lvlJc w:val="left"/>
      <w:pPr>
        <w:ind w:left="740" w:hanging="495"/>
        <w:jc w:val="right"/>
      </w:pPr>
      <w:rPr>
        <w:rFonts w:ascii="Verdana" w:eastAsia="Verdana" w:hAnsi="Verdana" w:cs="Verdana" w:hint="default"/>
        <w:b w:val="0"/>
        <w:bCs w:val="0"/>
        <w:i w:val="0"/>
        <w:iCs w:val="0"/>
        <w:spacing w:val="0"/>
        <w:w w:val="87"/>
        <w:sz w:val="24"/>
        <w:szCs w:val="24"/>
        <w:lang w:val="ca-ES" w:eastAsia="en-US" w:bidi="ar-SA"/>
      </w:rPr>
    </w:lvl>
    <w:lvl w:ilvl="1" w:tplc="511C32F2">
      <w:numFmt w:val="bullet"/>
      <w:lvlText w:val="•"/>
      <w:lvlJc w:val="left"/>
      <w:pPr>
        <w:ind w:left="1688" w:hanging="495"/>
      </w:pPr>
      <w:rPr>
        <w:rFonts w:hint="default"/>
        <w:lang w:val="ca-ES" w:eastAsia="en-US" w:bidi="ar-SA"/>
      </w:rPr>
    </w:lvl>
    <w:lvl w:ilvl="2" w:tplc="F29E268C">
      <w:numFmt w:val="bullet"/>
      <w:lvlText w:val="•"/>
      <w:lvlJc w:val="left"/>
      <w:pPr>
        <w:ind w:left="2636" w:hanging="495"/>
      </w:pPr>
      <w:rPr>
        <w:rFonts w:hint="default"/>
        <w:lang w:val="ca-ES" w:eastAsia="en-US" w:bidi="ar-SA"/>
      </w:rPr>
    </w:lvl>
    <w:lvl w:ilvl="3" w:tplc="4B5A2B56">
      <w:numFmt w:val="bullet"/>
      <w:lvlText w:val="•"/>
      <w:lvlJc w:val="left"/>
      <w:pPr>
        <w:ind w:left="3584" w:hanging="495"/>
      </w:pPr>
      <w:rPr>
        <w:rFonts w:hint="default"/>
        <w:lang w:val="ca-ES" w:eastAsia="en-US" w:bidi="ar-SA"/>
      </w:rPr>
    </w:lvl>
    <w:lvl w:ilvl="4" w:tplc="F4A86150">
      <w:numFmt w:val="bullet"/>
      <w:lvlText w:val="•"/>
      <w:lvlJc w:val="left"/>
      <w:pPr>
        <w:ind w:left="4532" w:hanging="495"/>
      </w:pPr>
      <w:rPr>
        <w:rFonts w:hint="default"/>
        <w:lang w:val="ca-ES" w:eastAsia="en-US" w:bidi="ar-SA"/>
      </w:rPr>
    </w:lvl>
    <w:lvl w:ilvl="5" w:tplc="B53A1CCC">
      <w:numFmt w:val="bullet"/>
      <w:lvlText w:val="•"/>
      <w:lvlJc w:val="left"/>
      <w:pPr>
        <w:ind w:left="5480" w:hanging="495"/>
      </w:pPr>
      <w:rPr>
        <w:rFonts w:hint="default"/>
        <w:lang w:val="ca-ES" w:eastAsia="en-US" w:bidi="ar-SA"/>
      </w:rPr>
    </w:lvl>
    <w:lvl w:ilvl="6" w:tplc="3C609B2A">
      <w:numFmt w:val="bullet"/>
      <w:lvlText w:val="•"/>
      <w:lvlJc w:val="left"/>
      <w:pPr>
        <w:ind w:left="6428" w:hanging="495"/>
      </w:pPr>
      <w:rPr>
        <w:rFonts w:hint="default"/>
        <w:lang w:val="ca-ES" w:eastAsia="en-US" w:bidi="ar-SA"/>
      </w:rPr>
    </w:lvl>
    <w:lvl w:ilvl="7" w:tplc="137E366C">
      <w:numFmt w:val="bullet"/>
      <w:lvlText w:val="•"/>
      <w:lvlJc w:val="left"/>
      <w:pPr>
        <w:ind w:left="7376" w:hanging="495"/>
      </w:pPr>
      <w:rPr>
        <w:rFonts w:hint="default"/>
        <w:lang w:val="ca-ES" w:eastAsia="en-US" w:bidi="ar-SA"/>
      </w:rPr>
    </w:lvl>
    <w:lvl w:ilvl="8" w:tplc="5A723356">
      <w:numFmt w:val="bullet"/>
      <w:lvlText w:val="•"/>
      <w:lvlJc w:val="left"/>
      <w:pPr>
        <w:ind w:left="8324" w:hanging="495"/>
      </w:pPr>
      <w:rPr>
        <w:rFonts w:hint="default"/>
        <w:lang w:val="ca-ES" w:eastAsia="en-US" w:bidi="ar-SA"/>
      </w:rPr>
    </w:lvl>
  </w:abstractNum>
  <w:abstractNum w:abstractNumId="2" w15:restartNumberingAfterBreak="0">
    <w:nsid w:val="699B26DC"/>
    <w:multiLevelType w:val="hybridMultilevel"/>
    <w:tmpl w:val="FF8C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E3244"/>
    <w:multiLevelType w:val="hybridMultilevel"/>
    <w:tmpl w:val="2E5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986337">
    <w:abstractNumId w:val="2"/>
  </w:num>
  <w:num w:numId="2" w16cid:durableId="1898323138">
    <w:abstractNumId w:val="0"/>
  </w:num>
  <w:num w:numId="3" w16cid:durableId="1419206336">
    <w:abstractNumId w:val="3"/>
  </w:num>
  <w:num w:numId="4" w16cid:durableId="2014722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E4"/>
    <w:rsid w:val="00010B54"/>
    <w:rsid w:val="00026631"/>
    <w:rsid w:val="00083E99"/>
    <w:rsid w:val="00097FD9"/>
    <w:rsid w:val="000C13C4"/>
    <w:rsid w:val="000C268E"/>
    <w:rsid w:val="000D14BF"/>
    <w:rsid w:val="000D7F53"/>
    <w:rsid w:val="000E6F60"/>
    <w:rsid w:val="00110286"/>
    <w:rsid w:val="00162FE9"/>
    <w:rsid w:val="001D386B"/>
    <w:rsid w:val="001F264D"/>
    <w:rsid w:val="00205220"/>
    <w:rsid w:val="00205DF6"/>
    <w:rsid w:val="00231939"/>
    <w:rsid w:val="0024784D"/>
    <w:rsid w:val="00285937"/>
    <w:rsid w:val="00287EC6"/>
    <w:rsid w:val="00290E05"/>
    <w:rsid w:val="002D2412"/>
    <w:rsid w:val="002D44DF"/>
    <w:rsid w:val="002D5D39"/>
    <w:rsid w:val="0030207F"/>
    <w:rsid w:val="00327DD3"/>
    <w:rsid w:val="0033223F"/>
    <w:rsid w:val="00347BB7"/>
    <w:rsid w:val="00360CEE"/>
    <w:rsid w:val="003A2565"/>
    <w:rsid w:val="003C0C3A"/>
    <w:rsid w:val="00411935"/>
    <w:rsid w:val="00420A85"/>
    <w:rsid w:val="00437892"/>
    <w:rsid w:val="004F1F17"/>
    <w:rsid w:val="00505CBB"/>
    <w:rsid w:val="005143E3"/>
    <w:rsid w:val="00535FAD"/>
    <w:rsid w:val="005436ED"/>
    <w:rsid w:val="005443C3"/>
    <w:rsid w:val="00577AE4"/>
    <w:rsid w:val="005A34D6"/>
    <w:rsid w:val="005C184B"/>
    <w:rsid w:val="005C6EA9"/>
    <w:rsid w:val="006200C5"/>
    <w:rsid w:val="006C5748"/>
    <w:rsid w:val="0070714C"/>
    <w:rsid w:val="00734C20"/>
    <w:rsid w:val="00736B28"/>
    <w:rsid w:val="007674C4"/>
    <w:rsid w:val="00780AA0"/>
    <w:rsid w:val="00791C1F"/>
    <w:rsid w:val="007A176F"/>
    <w:rsid w:val="007A36A2"/>
    <w:rsid w:val="00800766"/>
    <w:rsid w:val="00820D8D"/>
    <w:rsid w:val="00847BAD"/>
    <w:rsid w:val="00871536"/>
    <w:rsid w:val="00880D4D"/>
    <w:rsid w:val="008B0418"/>
    <w:rsid w:val="008B1AC4"/>
    <w:rsid w:val="008C285A"/>
    <w:rsid w:val="0090692D"/>
    <w:rsid w:val="00922AFD"/>
    <w:rsid w:val="00945D17"/>
    <w:rsid w:val="00947A05"/>
    <w:rsid w:val="0095082C"/>
    <w:rsid w:val="00983C2C"/>
    <w:rsid w:val="009A3E72"/>
    <w:rsid w:val="009F5391"/>
    <w:rsid w:val="00A074F8"/>
    <w:rsid w:val="00A33032"/>
    <w:rsid w:val="00A45A6F"/>
    <w:rsid w:val="00A615E3"/>
    <w:rsid w:val="00A65900"/>
    <w:rsid w:val="00AD3801"/>
    <w:rsid w:val="00AE44DB"/>
    <w:rsid w:val="00B005B2"/>
    <w:rsid w:val="00B01A8F"/>
    <w:rsid w:val="00B20838"/>
    <w:rsid w:val="00B31395"/>
    <w:rsid w:val="00B95873"/>
    <w:rsid w:val="00BC3745"/>
    <w:rsid w:val="00BF0063"/>
    <w:rsid w:val="00BF088E"/>
    <w:rsid w:val="00BF18D3"/>
    <w:rsid w:val="00BF5D72"/>
    <w:rsid w:val="00BF710D"/>
    <w:rsid w:val="00C043A4"/>
    <w:rsid w:val="00C50588"/>
    <w:rsid w:val="00C51CD6"/>
    <w:rsid w:val="00C569E3"/>
    <w:rsid w:val="00C76632"/>
    <w:rsid w:val="00C83EDF"/>
    <w:rsid w:val="00C94C22"/>
    <w:rsid w:val="00CF612A"/>
    <w:rsid w:val="00D62C1E"/>
    <w:rsid w:val="00D91711"/>
    <w:rsid w:val="00D92C95"/>
    <w:rsid w:val="00D94E82"/>
    <w:rsid w:val="00DE0D8E"/>
    <w:rsid w:val="00DE581A"/>
    <w:rsid w:val="00E06875"/>
    <w:rsid w:val="00E236F5"/>
    <w:rsid w:val="00E259EB"/>
    <w:rsid w:val="00E35D3A"/>
    <w:rsid w:val="00E71EAF"/>
    <w:rsid w:val="00EA24A5"/>
    <w:rsid w:val="00EC10AA"/>
    <w:rsid w:val="00EC3994"/>
    <w:rsid w:val="00EE0428"/>
    <w:rsid w:val="00F05630"/>
    <w:rsid w:val="00F07AEB"/>
    <w:rsid w:val="00F106D6"/>
    <w:rsid w:val="00F147A7"/>
    <w:rsid w:val="00F350BB"/>
    <w:rsid w:val="00F60A45"/>
    <w:rsid w:val="00F772A1"/>
    <w:rsid w:val="00FC26AE"/>
    <w:rsid w:val="00FD74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7BC1C"/>
  <w15:docId w15:val="{D6E208D0-DA58-BE47-AEA7-21893A64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6632"/>
    <w:pPr>
      <w:widowControl w:val="0"/>
      <w:spacing w:after="0" w:line="240" w:lineRule="auto"/>
    </w:pPr>
  </w:style>
  <w:style w:type="paragraph" w:styleId="Heading1">
    <w:name w:val="heading 1"/>
    <w:basedOn w:val="Normal"/>
    <w:link w:val="Heading1Char"/>
    <w:uiPriority w:val="1"/>
    <w:qFormat/>
    <w:rsid w:val="00C76632"/>
    <w:pPr>
      <w:ind w:left="100"/>
      <w:outlineLvl w:val="0"/>
    </w:pPr>
    <w:rPr>
      <w:rFonts w:ascii="Calibri" w:eastAsia="Calibri" w:hAnsi="Calibri"/>
      <w:b/>
      <w:bCs/>
      <w:sz w:val="44"/>
      <w:szCs w:val="44"/>
    </w:rPr>
  </w:style>
  <w:style w:type="paragraph" w:styleId="Heading2">
    <w:name w:val="heading 2"/>
    <w:basedOn w:val="Normal"/>
    <w:link w:val="Heading2Char"/>
    <w:uiPriority w:val="1"/>
    <w:qFormat/>
    <w:rsid w:val="00C76632"/>
    <w:pPr>
      <w:spacing w:before="152"/>
      <w:outlineLvl w:val="1"/>
    </w:pPr>
    <w:rPr>
      <w:rFonts w:ascii="Calibri" w:eastAsia="Calibri" w:hAnsi="Calibri"/>
      <w:b/>
      <w:bCs/>
      <w: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E4"/>
    <w:pPr>
      <w:tabs>
        <w:tab w:val="center" w:pos="4680"/>
        <w:tab w:val="right" w:pos="9360"/>
      </w:tabs>
    </w:pPr>
  </w:style>
  <w:style w:type="character" w:customStyle="1" w:styleId="HeaderChar">
    <w:name w:val="Header Char"/>
    <w:basedOn w:val="DefaultParagraphFont"/>
    <w:link w:val="Header"/>
    <w:uiPriority w:val="99"/>
    <w:rsid w:val="00577AE4"/>
  </w:style>
  <w:style w:type="paragraph" w:styleId="Footer">
    <w:name w:val="footer"/>
    <w:basedOn w:val="Normal"/>
    <w:link w:val="FooterChar"/>
    <w:uiPriority w:val="99"/>
    <w:unhideWhenUsed/>
    <w:rsid w:val="00577AE4"/>
    <w:pPr>
      <w:tabs>
        <w:tab w:val="center" w:pos="4680"/>
        <w:tab w:val="right" w:pos="9360"/>
      </w:tabs>
    </w:pPr>
  </w:style>
  <w:style w:type="character" w:customStyle="1" w:styleId="FooterChar">
    <w:name w:val="Footer Char"/>
    <w:basedOn w:val="DefaultParagraphFont"/>
    <w:link w:val="Footer"/>
    <w:uiPriority w:val="99"/>
    <w:rsid w:val="00577AE4"/>
  </w:style>
  <w:style w:type="character" w:customStyle="1" w:styleId="Heading1Char">
    <w:name w:val="Heading 1 Char"/>
    <w:basedOn w:val="DefaultParagraphFont"/>
    <w:link w:val="Heading1"/>
    <w:uiPriority w:val="1"/>
    <w:rsid w:val="00C76632"/>
    <w:rPr>
      <w:rFonts w:ascii="Calibri" w:eastAsia="Calibri" w:hAnsi="Calibri"/>
      <w:b/>
      <w:bCs/>
      <w:sz w:val="44"/>
      <w:szCs w:val="44"/>
      <w:lang w:val="en-US"/>
    </w:rPr>
  </w:style>
  <w:style w:type="character" w:customStyle="1" w:styleId="Heading2Char">
    <w:name w:val="Heading 2 Char"/>
    <w:basedOn w:val="DefaultParagraphFont"/>
    <w:link w:val="Heading2"/>
    <w:uiPriority w:val="1"/>
    <w:rsid w:val="00C76632"/>
    <w:rPr>
      <w:rFonts w:ascii="Calibri" w:eastAsia="Calibri" w:hAnsi="Calibri"/>
      <w:b/>
      <w:bCs/>
      <w:i/>
      <w:sz w:val="44"/>
      <w:szCs w:val="44"/>
      <w:lang w:val="en-US"/>
    </w:rPr>
  </w:style>
  <w:style w:type="paragraph" w:styleId="BodyText">
    <w:name w:val="Body Text"/>
    <w:basedOn w:val="Normal"/>
    <w:link w:val="BodyTextChar"/>
    <w:uiPriority w:val="1"/>
    <w:qFormat/>
    <w:rsid w:val="00C76632"/>
    <w:pPr>
      <w:ind w:left="100"/>
    </w:pPr>
    <w:rPr>
      <w:rFonts w:ascii="Calibri" w:eastAsia="Calibri" w:hAnsi="Calibri"/>
      <w:sz w:val="30"/>
      <w:szCs w:val="30"/>
    </w:rPr>
  </w:style>
  <w:style w:type="character" w:customStyle="1" w:styleId="BodyTextChar">
    <w:name w:val="Body Text Char"/>
    <w:basedOn w:val="DefaultParagraphFont"/>
    <w:link w:val="BodyText"/>
    <w:uiPriority w:val="1"/>
    <w:rsid w:val="00C76632"/>
    <w:rPr>
      <w:rFonts w:ascii="Calibri" w:eastAsia="Calibri" w:hAnsi="Calibri"/>
      <w:sz w:val="30"/>
      <w:szCs w:val="30"/>
      <w:lang w:val="en-US"/>
    </w:rPr>
  </w:style>
  <w:style w:type="paragraph" w:customStyle="1" w:styleId="Default">
    <w:name w:val="Default"/>
    <w:rsid w:val="00C766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6632"/>
    <w:rPr>
      <w:color w:val="0563C1" w:themeColor="hyperlink"/>
      <w:u w:val="single"/>
    </w:rPr>
  </w:style>
  <w:style w:type="paragraph" w:styleId="NoSpacing">
    <w:name w:val="No Spacing"/>
    <w:uiPriority w:val="1"/>
    <w:qFormat/>
    <w:rsid w:val="00FC26AE"/>
    <w:pPr>
      <w:widowControl w:val="0"/>
      <w:spacing w:after="0" w:line="240" w:lineRule="auto"/>
    </w:pPr>
  </w:style>
  <w:style w:type="paragraph" w:styleId="BalloonText">
    <w:name w:val="Balloon Text"/>
    <w:basedOn w:val="Normal"/>
    <w:link w:val="BalloonTextChar"/>
    <w:uiPriority w:val="99"/>
    <w:semiHidden/>
    <w:unhideWhenUsed/>
    <w:rsid w:val="00FC2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205220"/>
    <w:rPr>
      <w:color w:val="605E5C"/>
      <w:shd w:val="clear" w:color="auto" w:fill="E1DFDD"/>
    </w:rPr>
  </w:style>
  <w:style w:type="paragraph" w:styleId="ListParagraph">
    <w:name w:val="List Paragraph"/>
    <w:basedOn w:val="Normal"/>
    <w:uiPriority w:val="34"/>
    <w:qFormat/>
    <w:rsid w:val="001D386B"/>
    <w:pPr>
      <w:ind w:left="720"/>
      <w:contextualSpacing/>
    </w:pPr>
  </w:style>
  <w:style w:type="character" w:styleId="CommentReference">
    <w:name w:val="annotation reference"/>
    <w:basedOn w:val="DefaultParagraphFont"/>
    <w:uiPriority w:val="99"/>
    <w:semiHidden/>
    <w:unhideWhenUsed/>
    <w:rsid w:val="00A074F8"/>
    <w:rPr>
      <w:sz w:val="16"/>
      <w:szCs w:val="16"/>
    </w:rPr>
  </w:style>
  <w:style w:type="paragraph" w:styleId="CommentText">
    <w:name w:val="annotation text"/>
    <w:basedOn w:val="Normal"/>
    <w:link w:val="CommentTextChar"/>
    <w:uiPriority w:val="99"/>
    <w:semiHidden/>
    <w:unhideWhenUsed/>
    <w:rsid w:val="00A074F8"/>
    <w:rPr>
      <w:sz w:val="20"/>
      <w:szCs w:val="20"/>
    </w:rPr>
  </w:style>
  <w:style w:type="character" w:customStyle="1" w:styleId="CommentTextChar">
    <w:name w:val="Comment Text Char"/>
    <w:basedOn w:val="DefaultParagraphFont"/>
    <w:link w:val="CommentText"/>
    <w:uiPriority w:val="99"/>
    <w:semiHidden/>
    <w:rsid w:val="00A074F8"/>
    <w:rPr>
      <w:sz w:val="20"/>
      <w:szCs w:val="20"/>
      <w:lang w:val="en-US"/>
    </w:rPr>
  </w:style>
  <w:style w:type="paragraph" w:styleId="CommentSubject">
    <w:name w:val="annotation subject"/>
    <w:basedOn w:val="CommentText"/>
    <w:next w:val="CommentText"/>
    <w:link w:val="CommentSubjectChar"/>
    <w:uiPriority w:val="99"/>
    <w:semiHidden/>
    <w:unhideWhenUsed/>
    <w:rsid w:val="00A074F8"/>
    <w:rPr>
      <w:b/>
      <w:bCs/>
    </w:rPr>
  </w:style>
  <w:style w:type="character" w:customStyle="1" w:styleId="CommentSubjectChar">
    <w:name w:val="Comment Subject Char"/>
    <w:basedOn w:val="CommentTextChar"/>
    <w:link w:val="CommentSubject"/>
    <w:uiPriority w:val="99"/>
    <w:semiHidden/>
    <w:rsid w:val="00A074F8"/>
    <w:rPr>
      <w:b/>
      <w:bCs/>
      <w:sz w:val="20"/>
      <w:szCs w:val="20"/>
      <w:lang w:val="en-US"/>
    </w:rPr>
  </w:style>
  <w:style w:type="paragraph" w:customStyle="1" w:styleId="QECTableCaption">
    <w:name w:val="QEC Table Caption"/>
    <w:basedOn w:val="Normal"/>
    <w:rsid w:val="00360CEE"/>
    <w:pPr>
      <w:widowControl/>
      <w:spacing w:after="240" w:line="480" w:lineRule="auto"/>
      <w:jc w:val="center"/>
    </w:pPr>
    <w:rPr>
      <w:rFonts w:ascii="Arial" w:eastAsia="Times New Roman" w:hAnsi="Arial" w:cs="Arial"/>
      <w:b/>
      <w:bCs/>
      <w:sz w:val="24"/>
      <w:szCs w:val="24"/>
      <w:lang w:val="en-CA"/>
    </w:rPr>
  </w:style>
  <w:style w:type="table" w:styleId="TableGrid">
    <w:name w:val="Table Grid"/>
    <w:basedOn w:val="TableNormal"/>
    <w:uiPriority w:val="59"/>
    <w:rsid w:val="00360C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7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ec.nu.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Email%20&#8211;%20URRC@gov.nu.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qec.nu.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Email%20&#8211;%20URRC@gov.nu.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7996-378C-432C-89F3-D2D1E942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Nunavut</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Laurie-Anne</dc:creator>
  <cp:lastModifiedBy>18672223629</cp:lastModifiedBy>
  <cp:revision>3</cp:revision>
  <cp:lastPrinted>2019-11-26T15:28:00Z</cp:lastPrinted>
  <dcterms:created xsi:type="dcterms:W3CDTF">2024-12-19T18:38:00Z</dcterms:created>
  <dcterms:modified xsi:type="dcterms:W3CDTF">2024-12-19T18:49:00Z</dcterms:modified>
</cp:coreProperties>
</file>